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w:t>
      </w:r>
      <w:bookmarkStart w:id="0" w:name="_GoBack"/>
      <w:bookmarkEnd w:id="0"/>
      <w:r>
        <w:rPr>
          <w:rFonts w:hint="eastAsia" w:ascii="Times New Roman" w:hAnsi="Times New Roman" w:eastAsia="仿宋_GB2312"/>
          <w:sz w:val="32"/>
          <w:szCs w:val="32"/>
          <w:u w:val="none"/>
          <w:lang w:val="en-US" w:eastAsia="zh-CN"/>
        </w:rPr>
        <w:t>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78-3</w:t>
      </w:r>
      <w:r>
        <w:rPr>
          <w:rFonts w:hint="eastAsia" w:ascii="Times New Roman" w:hAnsi="Times New Roman" w:eastAsia="仿宋_GB2312"/>
          <w:sz w:val="32"/>
          <w:szCs w:val="32"/>
          <w:u w:val="none"/>
        </w:rPr>
        <w:t>号</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eastAsia" w:ascii="仿宋_GB2312" w:hAnsi="仿宋_GB2312" w:eastAsia="仿宋_GB2312" w:cs="仿宋_GB2312"/>
          <w:kern w:val="1"/>
          <w:sz w:val="32"/>
          <w:szCs w:val="32"/>
          <w:u w:val="none"/>
          <w:lang w:val="en-US" w:eastAsia="zh-CN"/>
        </w:rPr>
        <w:t>裕民县平安家园宾馆</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92654225MA77JUYC6Q</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新疆塔城地区裕民县巴尔鲁克东路8号（检察院后小二楼）</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蔡云</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东路8号（检察院后小二楼）经营，当事人自成立后，2023年、2024年度在“国家企业信用信息公示系统（新疆）”报送年度报告公示信息里面两年未进行年报，裕民县平安家园宾馆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1.裕民县平安家园宾馆的登记注册信息，证明裕民县平安家园宾馆的成立情况；</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2.裕民县平安家园宾馆在“国家企业信用信息公示系统（新疆）”的年度报告公示信息，证明裕民县平安家园宾馆的年度报告公示情况；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3.裕民县平安家园宾馆</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裕民县平安家园宾馆</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4、现场笔录1份，证明执法人员在裕民县平安家园宾馆登记注册的经营场所地址进行检查时，发现该场所无人经营，无法与当事人取得联系的事实。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5.拍摄的现场照片1份，证明执法人去裕民县平安家园宾馆所登记注册的经营场所进行现场检查时，发现该场所无人经营的事实；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6、通话记录截图1份，证明执法人员拨打裕民县平安家园宾馆所登记注册的电话号码，无法与当事人取得联系的事实；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54597C"/>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5DA6CA3"/>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40E49B1"/>
    <w:rsid w:val="36521307"/>
    <w:rsid w:val="37470222"/>
    <w:rsid w:val="38821B6A"/>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E36F84"/>
    <w:rsid w:val="46034DBC"/>
    <w:rsid w:val="47ED35F3"/>
    <w:rsid w:val="48FC1851"/>
    <w:rsid w:val="494D0249"/>
    <w:rsid w:val="4BA5432B"/>
    <w:rsid w:val="4C903CBA"/>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97379DC"/>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1</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2026-02-05T08:44:58Z</cp:lastPrinted>
  <dcterms:modified xsi:type="dcterms:W3CDTF">2026-02-05T08:45:50Z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